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83" w:rsidRPr="002922C3" w:rsidRDefault="00224C83" w:rsidP="00224C83">
      <w:pPr>
        <w:pStyle w:val="Nadpis1"/>
        <w:spacing w:before="0" w:after="120" w:line="276" w:lineRule="auto"/>
        <w:ind w:left="0"/>
        <w:rPr>
          <w:rFonts w:ascii="Source Sans Pro" w:hAnsi="Source Sans Pro"/>
          <w:sz w:val="22"/>
          <w:szCs w:val="22"/>
        </w:rPr>
      </w:pPr>
      <w:bookmarkStart w:id="0" w:name="_GoBack"/>
      <w:bookmarkEnd w:id="0"/>
      <w:r w:rsidRPr="002922C3">
        <w:rPr>
          <w:rFonts w:ascii="Source Sans Pro" w:hAnsi="Source Sans Pro"/>
          <w:color w:val="231F20"/>
          <w:sz w:val="22"/>
          <w:szCs w:val="22"/>
        </w:rPr>
        <w:t>D114 1979</w:t>
      </w:r>
    </w:p>
    <w:p w:rsidR="00224C83" w:rsidRPr="009F25EA" w:rsidRDefault="00224C83" w:rsidP="00224C83">
      <w:pPr>
        <w:pStyle w:val="Zkladntext"/>
        <w:spacing w:after="120" w:line="276" w:lineRule="auto"/>
        <w:rPr>
          <w:rFonts w:ascii="Source Sans Pro" w:hAnsi="Source Sans Pro"/>
          <w:b/>
          <w:sz w:val="22"/>
          <w:szCs w:val="22"/>
        </w:rPr>
      </w:pPr>
      <w:r w:rsidRPr="009F25EA">
        <w:rPr>
          <w:rFonts w:ascii="Source Sans Pro" w:hAnsi="Source Sans Pro"/>
          <w:b/>
          <w:color w:val="231F20"/>
          <w:sz w:val="22"/>
          <w:szCs w:val="22"/>
        </w:rPr>
        <w:t>1979, 27. srpen, Praha. – Poděkování za projevy solidarity se zatčenými chartisty a členy VONS a za mezinárodní podporu.</w:t>
      </w:r>
    </w:p>
    <w:p w:rsidR="00224C83" w:rsidRPr="002922C3" w:rsidRDefault="00224C83" w:rsidP="00224C83">
      <w:pPr>
        <w:pStyle w:val="Zkladntext"/>
        <w:spacing w:after="120" w:line="276" w:lineRule="auto"/>
        <w:rPr>
          <w:rFonts w:ascii="Source Sans Pro" w:hAnsi="Source Sans Pro"/>
          <w:sz w:val="22"/>
          <w:szCs w:val="22"/>
        </w:rPr>
      </w:pPr>
      <w:r w:rsidRPr="002922C3">
        <w:rPr>
          <w:rFonts w:ascii="Source Sans Pro" w:hAnsi="Source Sans Pro"/>
          <w:color w:val="231F20"/>
          <w:sz w:val="22"/>
          <w:szCs w:val="22"/>
        </w:rPr>
        <w:t>Mluvčí Charty 77 vyslovují upřímné díky všem, kdo nejrozmanitějšími způsoby vyjádřili a vyjadřují svou solidaritu se zatčenými členy Výboru na obranu nespravedlivě stíhaných, s činností Výboru a s občanskou iniciativou Charta 77.¹ Stále nové zprávy o mezinárodní podpoře našeho úsilí a našeho zápasu nám připomínají, že obrana nezadatelných lidských a občanských práv zavazuje všechny lidi na celém světě k odpovědnosti za druhé, zejména za ty, jimž jsou tato práva nejvíc upírána. Proto cítíme povinnost znovu upozornit nejenom na to, že vedle dnes známé „pražské desítky“ jsou v naší zemi vězněni mnozí další občané z ryze politických důvodů a přímo pro svou aktivní obhajobu lidských práv, ale především na to, že podobně pronásledovaných je mnoho i v řadě dalších zemí, ať už se jejich vlády zavázaly řídit se Všeobecnou deklarací a</w:t>
      </w:r>
      <w:r>
        <w:rPr>
          <w:rFonts w:ascii="Source Sans Pro" w:hAnsi="Source Sans Pro"/>
          <w:color w:val="231F20"/>
          <w:sz w:val="22"/>
          <w:szCs w:val="22"/>
        </w:rPr>
        <w:t xml:space="preserve"> </w:t>
      </w:r>
      <w:r w:rsidRPr="002922C3">
        <w:rPr>
          <w:rFonts w:ascii="Source Sans Pro" w:hAnsi="Source Sans Pro"/>
          <w:color w:val="231F20"/>
          <w:sz w:val="22"/>
          <w:szCs w:val="22"/>
        </w:rPr>
        <w:t>mezinárodními</w:t>
      </w:r>
      <w:r>
        <w:rPr>
          <w:rFonts w:ascii="Source Sans Pro" w:hAnsi="Source Sans Pro"/>
          <w:color w:val="231F20"/>
          <w:sz w:val="22"/>
          <w:szCs w:val="22"/>
        </w:rPr>
        <w:t xml:space="preserve"> </w:t>
      </w:r>
      <w:r w:rsidRPr="002922C3">
        <w:rPr>
          <w:rFonts w:ascii="Source Sans Pro" w:hAnsi="Source Sans Pro"/>
          <w:color w:val="231F20"/>
          <w:sz w:val="22"/>
          <w:szCs w:val="22"/>
        </w:rPr>
        <w:t>pakty o lidských a občanských právech, nebo nikoliv. Podaří-li se dosáhnout pod tlakem světového veřejného mínění osvobození některých z nich, nesmíme v žádném případě zapomínat na všechny ostatní, kteří dosud osvobozeni nejsou a kterých bude bohužel ještě dlouho mnohem víc. Náš zápas bude nepochybně dlouhý. Proto musíme hledat všechny cesty, které mohou vést ke spolupráci a vzájemné solidaritě při obhajobě lidských práv a svobod ve všech zemích světa.</w:t>
      </w: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Jiří Hájek, Zdena Tominová, Ladislav Hejdánek mluvčí Charty 77</w:t>
      </w:r>
    </w:p>
    <w:p w:rsidR="00224C83" w:rsidRPr="002922C3" w:rsidRDefault="00224C83" w:rsidP="00224C83">
      <w:pPr>
        <w:pStyle w:val="Odstavecseseznamem"/>
        <w:numPr>
          <w:ilvl w:val="0"/>
          <w:numId w:val="1"/>
        </w:numPr>
        <w:tabs>
          <w:tab w:val="left" w:pos="315"/>
        </w:tabs>
        <w:spacing w:after="120" w:line="276" w:lineRule="auto"/>
        <w:ind w:left="0" w:firstLine="0"/>
        <w:contextualSpacing w:val="0"/>
        <w:rPr>
          <w:rFonts w:ascii="Source Sans Pro" w:hAnsi="Source Sans Pro"/>
        </w:rPr>
      </w:pPr>
      <w:r w:rsidRPr="002922C3">
        <w:rPr>
          <w:rFonts w:ascii="Source Sans Pro" w:hAnsi="Source Sans Pro"/>
          <w:color w:val="231F20"/>
        </w:rPr>
        <w:t>Informace o Chartě 77, roč. 2 (1979), č. 12, s. 1.</w:t>
      </w:r>
    </w:p>
    <w:p w:rsidR="00224C83" w:rsidRPr="002922C3" w:rsidRDefault="00224C83" w:rsidP="00224C83">
      <w:pPr>
        <w:pStyle w:val="Zkladntext"/>
        <w:spacing w:after="120" w:line="276" w:lineRule="auto"/>
        <w:rPr>
          <w:rFonts w:ascii="Source Sans Pro" w:hAnsi="Source Sans Pro"/>
          <w:sz w:val="22"/>
          <w:szCs w:val="22"/>
        </w:rPr>
      </w:pP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1 Západoněmecký socialistický výbor pro východní Evropu zorganizoval 31. srpna v západním Berlíně shromáždění na podporu zatčených. Rada svobodného Československa (RSČ) vyzvala četné politické osobnosti a organizace k protestům proti připravovanému soudnímu procesu. RSČ se rovněž obrátila na české, slovenské a podkarpatskorusínské emigranty: „Protestujeme! Rada svobodného Československa se obrací na Čechy, Slováky a Podkarpatské Rusy v zahraničí, aby jednotlivě i prostřednictvím svých organizací poslali protesty na adresu prezidenta Husáka a generálního prokurátora v Praze</w:t>
      </w:r>
      <w:r>
        <w:rPr>
          <w:rFonts w:ascii="Source Sans Pro" w:hAnsi="Source Sans Pro"/>
          <w:i/>
          <w:color w:val="231F20"/>
        </w:rPr>
        <w:t xml:space="preserve"> </w:t>
      </w:r>
      <w:r w:rsidRPr="002922C3">
        <w:rPr>
          <w:rFonts w:ascii="Source Sans Pro" w:hAnsi="Source Sans Pro"/>
          <w:i/>
          <w:color w:val="231F20"/>
        </w:rPr>
        <w:t xml:space="preserve">proti připravovanému procesu. Nechť v tomto smyslu působí i na své okolí.“ </w:t>
      </w:r>
      <w:r w:rsidRPr="002922C3">
        <w:rPr>
          <w:rFonts w:ascii="Source Sans Pro" w:hAnsi="Source Sans Pro"/>
          <w:color w:val="231F20"/>
        </w:rPr>
        <w:t>Nový domov</w:t>
      </w:r>
      <w:r w:rsidRPr="002922C3">
        <w:rPr>
          <w:rFonts w:ascii="Source Sans Pro" w:hAnsi="Source Sans Pro"/>
          <w:i/>
          <w:color w:val="231F20"/>
        </w:rPr>
        <w:t>, č. 16, 2. srpna 1979,</w:t>
      </w:r>
      <w:r>
        <w:rPr>
          <w:rFonts w:ascii="Source Sans Pro" w:hAnsi="Source Sans Pro"/>
          <w:i/>
          <w:color w:val="231F20"/>
        </w:rPr>
        <w:t xml:space="preserve"> </w:t>
      </w:r>
      <w:r w:rsidRPr="002922C3">
        <w:rPr>
          <w:rFonts w:ascii="Source Sans Pro" w:hAnsi="Source Sans Pro"/>
          <w:i/>
          <w:color w:val="231F20"/>
        </w:rPr>
        <w:t>s. 4.</w:t>
      </w: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10.–12. července jednal o Československu Evropský parlament a vydal k otázce zatčených rezoluci. Mezi nejvýznamnější protestní akce patřil telegram Světového kongresu PEN klubu v Rio de Janeiro (16.–20. července)</w:t>
      </w:r>
      <w:r>
        <w:rPr>
          <w:rFonts w:ascii="Source Sans Pro" w:hAnsi="Source Sans Pro"/>
          <w:i/>
          <w:color w:val="231F20"/>
        </w:rPr>
        <w:t xml:space="preserve"> </w:t>
      </w:r>
      <w:r w:rsidRPr="002922C3">
        <w:rPr>
          <w:rFonts w:ascii="Source Sans Pro" w:hAnsi="Source Sans Pro"/>
          <w:i/>
          <w:color w:val="231F20"/>
        </w:rPr>
        <w:t>G. Husákovi.Ve prospěch zatčených se dále angažovala Amnesty International, ústřední výbor německých katolíků, 20 významných francouzských intelektuálů, ministerská předsedkyně M. Thatcherová (ve své odpovědi na dopis E. Kantůrkové). Americký výbor na podporu lidských práv 5. září zorganizoval kampaň na podporu zatčených. Labour Party uspořádala „kampaň solidarity s východní Evropou“ 2. října v Brightonu. Výzvu k mezinárodní veřejnosti na podporu vězněným vydali také polští disidenti. Viz D118 (16.10.1979). 1. července 1979 vydala československá socialistická opozice protestní prohlášení, signované v Římě,Vídni, Stockholmu a Kolíně nad Rýnem J. Pelikánem, Z. Hejzlarem, A. Müllerem a Z. Mlynářem.</w:t>
      </w: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 xml:space="preserve">Za mohutnou zahraniční podporu poděkovali mluvčí Charty 77 dalším, anglicky psaným dopisem z 5. září 1979. Přes hranice jej převezl norský profesor Thorolf Rafto, který měl počátkem září 1979 přednášet v jednom z bytových seminářů „Patočkovy univerzity“, byl však policií zadržen, vyslýchán a </w:t>
      </w:r>
      <w:r w:rsidRPr="002922C3">
        <w:rPr>
          <w:rFonts w:ascii="Source Sans Pro" w:hAnsi="Source Sans Pro"/>
          <w:i/>
          <w:color w:val="231F20"/>
        </w:rPr>
        <w:lastRenderedPageBreak/>
        <w:t>vypovězen.</w:t>
      </w: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„Drazí přátelé v zahraničí! Rádi využíváme dobrých služeb profesora Rafto, abychom vyjádřili hlubokou vděčnost</w:t>
      </w:r>
      <w:r>
        <w:rPr>
          <w:rFonts w:ascii="Source Sans Pro" w:hAnsi="Source Sans Pro"/>
          <w:i/>
          <w:color w:val="231F20"/>
        </w:rPr>
        <w:t xml:space="preserve"> </w:t>
      </w:r>
      <w:r w:rsidRPr="002922C3">
        <w:rPr>
          <w:rFonts w:ascii="Source Sans Pro" w:hAnsi="Source Sans Pro"/>
          <w:i/>
          <w:color w:val="231F20"/>
        </w:rPr>
        <w:t>za</w:t>
      </w:r>
      <w:r>
        <w:rPr>
          <w:rFonts w:ascii="Source Sans Pro" w:hAnsi="Source Sans Pro"/>
          <w:i/>
          <w:color w:val="231F20"/>
        </w:rPr>
        <w:t xml:space="preserve"> </w:t>
      </w:r>
      <w:r w:rsidRPr="002922C3">
        <w:rPr>
          <w:rFonts w:ascii="Source Sans Pro" w:hAnsi="Source Sans Pro"/>
          <w:i/>
          <w:color w:val="231F20"/>
        </w:rPr>
        <w:t>všechny</w:t>
      </w:r>
      <w:r>
        <w:rPr>
          <w:rFonts w:ascii="Source Sans Pro" w:hAnsi="Source Sans Pro"/>
          <w:i/>
          <w:color w:val="231F20"/>
        </w:rPr>
        <w:t xml:space="preserve"> </w:t>
      </w:r>
      <w:r w:rsidRPr="002922C3">
        <w:rPr>
          <w:rFonts w:ascii="Source Sans Pro" w:hAnsi="Source Sans Pro"/>
          <w:i/>
          <w:color w:val="231F20"/>
        </w:rPr>
        <w:t>projevy</w:t>
      </w:r>
      <w:r>
        <w:rPr>
          <w:rFonts w:ascii="Source Sans Pro" w:hAnsi="Source Sans Pro"/>
          <w:i/>
          <w:color w:val="231F20"/>
        </w:rPr>
        <w:t xml:space="preserve"> </w:t>
      </w:r>
      <w:r w:rsidRPr="002922C3">
        <w:rPr>
          <w:rFonts w:ascii="Source Sans Pro" w:hAnsi="Source Sans Pro"/>
          <w:i/>
          <w:color w:val="231F20"/>
        </w:rPr>
        <w:t>mezinárodní</w:t>
      </w:r>
      <w:r>
        <w:rPr>
          <w:rFonts w:ascii="Source Sans Pro" w:hAnsi="Source Sans Pro"/>
          <w:i/>
          <w:color w:val="231F20"/>
        </w:rPr>
        <w:t xml:space="preserve"> </w:t>
      </w:r>
      <w:r w:rsidRPr="002922C3">
        <w:rPr>
          <w:rFonts w:ascii="Source Sans Pro" w:hAnsi="Source Sans Pro"/>
          <w:i/>
          <w:color w:val="231F20"/>
        </w:rPr>
        <w:t>solidarity s naším úsilím. Vysoko oceňujeme, že tyto projevy zesílily zejména v posledních měsících a týdnech. Jsme si vědomi naší vlastní svrchované odpovědnosti za vše, co podnikáme na obranu lidských a občanských práv zapsaných v naší Ústavě i v ratiﬁkovaných mezinárodních paktech a konvencích. Současně jsme si však vědomi i souvislosti tohoto úsilí s procesem uvolňování mezinárodního napětí a s věcí mírového soužití národů. Nacházíme tuto souvislost vyjádřenu jak ve zmíněných mezinárodních paktech a konvencích, tak zejména v Závěrečném dokumentu Konference o bezpečnosti a spolupráci v Evropě z roku 1975. Jsme toho názoru, že tato souvislost má být znovu a znovu podporována jak mezinárodním veřejným míněním, tak i smluvními stranami tohoto dokumentu. Vzájemná kontrola přijatých závazků by neměla být podezírána z vměšování do vnitřních záležitostí jednotlivých smluvních stran. Projevy mezinárodní solidarity i kontrolu přijatých závazků považujeme za nesmírně důležitou morální a politickou</w:t>
      </w:r>
      <w:r>
        <w:rPr>
          <w:rFonts w:ascii="Source Sans Pro" w:hAnsi="Source Sans Pro"/>
          <w:i/>
          <w:color w:val="231F20"/>
        </w:rPr>
        <w:t xml:space="preserve"> </w:t>
      </w:r>
      <w:r w:rsidRPr="002922C3">
        <w:rPr>
          <w:rFonts w:ascii="Source Sans Pro" w:hAnsi="Source Sans Pro"/>
          <w:i/>
          <w:color w:val="231F20"/>
        </w:rPr>
        <w:t xml:space="preserve">podporu našeho úsilí. Posilují naše přesvědčení, naději i vůli, a jsou vysoko oceňovány zejména těmi z nás, kteří jsou vystaveni tvrdostem represe. Víme, že jsou cenným přínosem ve společném úsilí o mír, svobodu a pokrok, do nějž se i my snažíme přispět svým skromným vkladem.“ </w:t>
      </w:r>
      <w:r w:rsidRPr="002922C3">
        <w:rPr>
          <w:rFonts w:ascii="Source Sans Pro" w:hAnsi="Source Sans Pro"/>
          <w:color w:val="231F20"/>
        </w:rPr>
        <w:t>Listy</w:t>
      </w:r>
      <w:r w:rsidRPr="002922C3">
        <w:rPr>
          <w:rFonts w:ascii="Source Sans Pro" w:hAnsi="Source Sans Pro"/>
          <w:i/>
          <w:color w:val="231F20"/>
        </w:rPr>
        <w:t>, roč. 4 (1979), č. 7, s. 59. (Neautorizovaný překlad.)</w:t>
      </w:r>
    </w:p>
    <w:p w:rsidR="00224C83" w:rsidRPr="002922C3" w:rsidRDefault="00224C83" w:rsidP="00224C83">
      <w:pPr>
        <w:spacing w:after="120" w:line="276" w:lineRule="auto"/>
        <w:rPr>
          <w:rFonts w:ascii="Source Sans Pro" w:hAnsi="Source Sans Pro"/>
          <w:i/>
        </w:rPr>
      </w:pPr>
      <w:r w:rsidRPr="002922C3">
        <w:rPr>
          <w:rFonts w:ascii="Source Sans Pro" w:hAnsi="Source Sans Pro"/>
          <w:i/>
          <w:color w:val="231F20"/>
        </w:rPr>
        <w:t>Dále viz D107 (30.5.1979), D108 (31.5.1979),</w:t>
      </w:r>
      <w:r>
        <w:rPr>
          <w:rFonts w:ascii="Source Sans Pro" w:hAnsi="Source Sans Pro"/>
          <w:i/>
          <w:color w:val="231F20"/>
        </w:rPr>
        <w:t xml:space="preserve"> </w:t>
      </w:r>
      <w:r w:rsidRPr="002922C3">
        <w:rPr>
          <w:rFonts w:ascii="Source Sans Pro" w:hAnsi="Source Sans Pro"/>
          <w:i/>
          <w:color w:val="231F20"/>
        </w:rPr>
        <w:t>D109</w:t>
      </w:r>
      <w:r>
        <w:rPr>
          <w:rFonts w:ascii="Source Sans Pro" w:hAnsi="Source Sans Pro"/>
          <w:i/>
          <w:color w:val="231F20"/>
        </w:rPr>
        <w:t xml:space="preserve"> </w:t>
      </w:r>
      <w:r w:rsidRPr="002922C3">
        <w:rPr>
          <w:rFonts w:ascii="Source Sans Pro" w:hAnsi="Source Sans Pro"/>
          <w:i/>
          <w:color w:val="231F20"/>
        </w:rPr>
        <w:t>(5.6.1979), D111 (25.6.1979), D116 (15.10.1979), D119</w:t>
      </w:r>
      <w:r>
        <w:rPr>
          <w:rFonts w:ascii="Source Sans Pro" w:hAnsi="Source Sans Pro"/>
          <w:i/>
          <w:color w:val="231F20"/>
        </w:rPr>
        <w:t xml:space="preserve"> </w:t>
      </w:r>
      <w:r w:rsidRPr="002922C3">
        <w:rPr>
          <w:rFonts w:ascii="Source Sans Pro" w:hAnsi="Source Sans Pro"/>
          <w:i/>
          <w:color w:val="231F20"/>
        </w:rPr>
        <w:t>(21.10.1979), D120 (24.10.1979), D125 (14.11.1979), D131</w:t>
      </w:r>
      <w:r>
        <w:rPr>
          <w:rFonts w:ascii="Source Sans Pro" w:hAnsi="Source Sans Pro"/>
          <w:i/>
          <w:color w:val="231F20"/>
        </w:rPr>
        <w:t xml:space="preserve"> </w:t>
      </w:r>
      <w:r w:rsidRPr="002922C3">
        <w:rPr>
          <w:rFonts w:ascii="Source Sans Pro" w:hAnsi="Source Sans Pro"/>
          <w:i/>
          <w:color w:val="231F20"/>
        </w:rPr>
        <w:t>(9.1.1980).</w:t>
      </w:r>
    </w:p>
    <w:p w:rsidR="00224C83" w:rsidRPr="002922C3" w:rsidRDefault="00224C83" w:rsidP="00224C83">
      <w:pPr>
        <w:pStyle w:val="Zkladntext"/>
        <w:spacing w:after="120" w:line="276" w:lineRule="auto"/>
        <w:rPr>
          <w:rFonts w:ascii="Source Sans Pro" w:hAnsi="Source Sans Pro"/>
          <w:i/>
          <w:sz w:val="22"/>
          <w:szCs w:val="22"/>
        </w:rPr>
      </w:pPr>
    </w:p>
    <w:p w:rsidR="00224C83" w:rsidRPr="002922C3" w:rsidRDefault="00224C83" w:rsidP="00224C83">
      <w:pPr>
        <w:spacing w:after="120" w:line="276" w:lineRule="auto"/>
        <w:rPr>
          <w:rFonts w:ascii="Source Sans Pro" w:hAnsi="Source Sans Pro"/>
        </w:rPr>
      </w:pPr>
      <w:r w:rsidRPr="002922C3">
        <w:rPr>
          <w:rFonts w:ascii="Source Sans Pro" w:hAnsi="Source Sans Pro"/>
          <w:color w:val="231F20"/>
        </w:rPr>
        <w:t xml:space="preserve">Komentáře a ohlasy: Dopis sdružení francouzských advokátů. In: </w:t>
      </w:r>
      <w:r w:rsidRPr="002922C3">
        <w:rPr>
          <w:rFonts w:ascii="Source Sans Pro" w:hAnsi="Source Sans Pro"/>
          <w:i/>
          <w:color w:val="231F20"/>
        </w:rPr>
        <w:t>Informace o Chartě 77</w:t>
      </w:r>
      <w:r w:rsidRPr="002922C3">
        <w:rPr>
          <w:rFonts w:ascii="Source Sans Pro" w:hAnsi="Source Sans Pro"/>
          <w:color w:val="231F20"/>
        </w:rPr>
        <w:t>, roč. 2 (1979), č. 10 •</w:t>
      </w:r>
      <w:r>
        <w:rPr>
          <w:rFonts w:ascii="Source Sans Pro" w:hAnsi="Source Sans Pro"/>
          <w:color w:val="231F20"/>
        </w:rPr>
        <w:t xml:space="preserve"> </w:t>
      </w:r>
      <w:r w:rsidRPr="002922C3">
        <w:rPr>
          <w:rFonts w:ascii="Source Sans Pro" w:hAnsi="Source Sans Pro"/>
          <w:color w:val="231F20"/>
        </w:rPr>
        <w:t xml:space="preserve">E. Kantůrková M. Thatcherové, </w:t>
      </w:r>
      <w:r w:rsidRPr="002922C3">
        <w:rPr>
          <w:rFonts w:ascii="Source Sans Pro" w:hAnsi="Source Sans Pro"/>
          <w:i/>
          <w:color w:val="231F20"/>
        </w:rPr>
        <w:t>tamtéž</w:t>
      </w:r>
      <w:r w:rsidRPr="002922C3">
        <w:rPr>
          <w:rFonts w:ascii="Source Sans Pro" w:hAnsi="Source Sans Pro"/>
          <w:color w:val="231F20"/>
        </w:rPr>
        <w:t xml:space="preserve">, č. 11 • Dopis svatému otci, </w:t>
      </w:r>
      <w:r w:rsidRPr="002922C3">
        <w:rPr>
          <w:rFonts w:ascii="Source Sans Pro" w:hAnsi="Source Sans Pro"/>
          <w:i/>
          <w:color w:val="231F20"/>
        </w:rPr>
        <w:t>tamtéž</w:t>
      </w:r>
      <w:r w:rsidRPr="002922C3">
        <w:rPr>
          <w:rFonts w:ascii="Source Sans Pro" w:hAnsi="Source Sans Pro"/>
          <w:color w:val="231F20"/>
        </w:rPr>
        <w:t xml:space="preserve">, s. 15 • Telegram Helsinki Watch, </w:t>
      </w:r>
      <w:r w:rsidRPr="002922C3">
        <w:rPr>
          <w:rFonts w:ascii="Source Sans Pro" w:hAnsi="Source Sans Pro"/>
          <w:i/>
          <w:color w:val="231F20"/>
        </w:rPr>
        <w:t>tamtéž</w:t>
      </w:r>
      <w:r w:rsidRPr="002922C3">
        <w:rPr>
          <w:rFonts w:ascii="Source Sans Pro" w:hAnsi="Source Sans Pro"/>
          <w:color w:val="231F20"/>
        </w:rPr>
        <w:t xml:space="preserve">, č. 12 • Horečná příprava politických procesů v Praze. In: </w:t>
      </w:r>
      <w:r w:rsidRPr="002922C3">
        <w:rPr>
          <w:rFonts w:ascii="Source Sans Pro" w:hAnsi="Source Sans Pro"/>
          <w:i/>
          <w:color w:val="231F20"/>
        </w:rPr>
        <w:t>České slovo</w:t>
      </w:r>
      <w:r w:rsidRPr="002922C3">
        <w:rPr>
          <w:rFonts w:ascii="Source Sans Pro" w:hAnsi="Source Sans Pro"/>
          <w:color w:val="231F20"/>
        </w:rPr>
        <w:t xml:space="preserve">, roč. 25 (1979), č. 7–8, s. 1–3 • Jičínský, Z.: Nad chystaným procesem. Samizdat 29. července 1979, knižně: </w:t>
      </w:r>
      <w:r w:rsidRPr="002922C3">
        <w:rPr>
          <w:rFonts w:ascii="Source Sans Pro" w:hAnsi="Source Sans Pro"/>
          <w:i/>
          <w:color w:val="231F20"/>
        </w:rPr>
        <w:t>Charta 77 a právní řád</w:t>
      </w:r>
      <w:r w:rsidRPr="002922C3">
        <w:rPr>
          <w:rFonts w:ascii="Source Sans Pro" w:hAnsi="Source Sans Pro"/>
          <w:color w:val="231F20"/>
        </w:rPr>
        <w:t xml:space="preserve">, Brno 1995, s. 42–55 • Praha chystá procesy. In: </w:t>
      </w:r>
      <w:r w:rsidRPr="002922C3">
        <w:rPr>
          <w:rFonts w:ascii="Source Sans Pro" w:hAnsi="Source Sans Pro"/>
          <w:i/>
          <w:color w:val="231F20"/>
        </w:rPr>
        <w:t>Listy</w:t>
      </w:r>
      <w:r w:rsidRPr="002922C3">
        <w:rPr>
          <w:rFonts w:ascii="Source Sans Pro" w:hAnsi="Source Sans Pro"/>
          <w:color w:val="231F20"/>
        </w:rPr>
        <w:t>, roč. 9 (1979), č. 4, s. 42–46) • Jezdinský,</w:t>
      </w:r>
      <w:r>
        <w:rPr>
          <w:rFonts w:ascii="Source Sans Pro" w:hAnsi="Source Sans Pro"/>
          <w:color w:val="231F20"/>
        </w:rPr>
        <w:t xml:space="preserve"> </w:t>
      </w:r>
      <w:r w:rsidRPr="002922C3">
        <w:rPr>
          <w:rFonts w:ascii="Source Sans Pro" w:hAnsi="Source Sans Pro"/>
          <w:color w:val="231F20"/>
        </w:rPr>
        <w:t>Karel:</w:t>
      </w:r>
      <w:r>
        <w:rPr>
          <w:rFonts w:ascii="Source Sans Pro" w:hAnsi="Source Sans Pro"/>
          <w:color w:val="231F20"/>
        </w:rPr>
        <w:t xml:space="preserve"> </w:t>
      </w:r>
      <w:r w:rsidRPr="002922C3">
        <w:rPr>
          <w:rFonts w:ascii="Source Sans Pro" w:hAnsi="Source Sans Pro"/>
          <w:color w:val="231F20"/>
        </w:rPr>
        <w:t>O</w:t>
      </w:r>
      <w:r>
        <w:rPr>
          <w:rFonts w:ascii="Source Sans Pro" w:hAnsi="Source Sans Pro"/>
          <w:color w:val="231F20"/>
        </w:rPr>
        <w:t xml:space="preserve"> </w:t>
      </w:r>
      <w:r w:rsidRPr="002922C3">
        <w:rPr>
          <w:rFonts w:ascii="Source Sans Pro" w:hAnsi="Source Sans Pro"/>
          <w:color w:val="231F20"/>
        </w:rPr>
        <w:t>procesu</w:t>
      </w:r>
      <w:r>
        <w:rPr>
          <w:rFonts w:ascii="Source Sans Pro" w:hAnsi="Source Sans Pro"/>
          <w:color w:val="231F20"/>
        </w:rPr>
        <w:t xml:space="preserve"> </w:t>
      </w:r>
      <w:r w:rsidRPr="002922C3">
        <w:rPr>
          <w:rFonts w:ascii="Source Sans Pro" w:hAnsi="Source Sans Pro"/>
          <w:color w:val="231F20"/>
        </w:rPr>
        <w:t>proti</w:t>
      </w:r>
      <w:r>
        <w:rPr>
          <w:rFonts w:ascii="Source Sans Pro" w:hAnsi="Source Sans Pro"/>
          <w:color w:val="231F20"/>
        </w:rPr>
        <w:t xml:space="preserve"> </w:t>
      </w:r>
      <w:r w:rsidRPr="002922C3">
        <w:rPr>
          <w:rFonts w:ascii="Source Sans Pro" w:hAnsi="Source Sans Pro"/>
          <w:color w:val="231F20"/>
        </w:rPr>
        <w:t>deseti</w:t>
      </w:r>
      <w:r>
        <w:rPr>
          <w:rFonts w:ascii="Source Sans Pro" w:hAnsi="Source Sans Pro"/>
          <w:color w:val="231F20"/>
        </w:rPr>
        <w:t xml:space="preserve"> </w:t>
      </w:r>
      <w:r w:rsidRPr="002922C3">
        <w:rPr>
          <w:rFonts w:ascii="Source Sans Pro" w:hAnsi="Source Sans Pro"/>
          <w:color w:val="231F20"/>
        </w:rPr>
        <w:t xml:space="preserve">signatářům. ÚSD, sb. RFE, pol. blok S-757 (2. července 1979) • Jak reaguje světová veřejnost. In: </w:t>
      </w:r>
      <w:r w:rsidRPr="002922C3">
        <w:rPr>
          <w:rFonts w:ascii="Source Sans Pro" w:hAnsi="Source Sans Pro"/>
          <w:i/>
          <w:color w:val="231F20"/>
        </w:rPr>
        <w:t>Listy</w:t>
      </w:r>
      <w:r w:rsidRPr="002922C3">
        <w:rPr>
          <w:rFonts w:ascii="Source Sans Pro" w:hAnsi="Source Sans Pro"/>
          <w:color w:val="231F20"/>
        </w:rPr>
        <w:t>, roč. 9 (1979), č. 4,</w:t>
      </w:r>
      <w:r>
        <w:rPr>
          <w:rFonts w:ascii="Source Sans Pro" w:hAnsi="Source Sans Pro"/>
          <w:color w:val="231F20"/>
        </w:rPr>
        <w:t xml:space="preserve"> </w:t>
      </w:r>
      <w:r w:rsidRPr="002922C3">
        <w:rPr>
          <w:rFonts w:ascii="Source Sans Pro" w:hAnsi="Source Sans Pro"/>
          <w:color w:val="231F20"/>
        </w:rPr>
        <w:t xml:space="preserve">s. 54–55 • Evropský parlament o Československu, </w:t>
      </w:r>
      <w:r w:rsidRPr="002922C3">
        <w:rPr>
          <w:rFonts w:ascii="Source Sans Pro" w:hAnsi="Source Sans Pro"/>
          <w:i/>
          <w:color w:val="231F20"/>
        </w:rPr>
        <w:t>tamtéž</w:t>
      </w:r>
      <w:r w:rsidRPr="002922C3">
        <w:rPr>
          <w:rFonts w:ascii="Source Sans Pro" w:hAnsi="Source Sans Pro"/>
          <w:color w:val="231F20"/>
        </w:rPr>
        <w:t xml:space="preserve">, č. 5, s. 60 • Teror režimu proti představitelům Charty 77 pokračuje. In: </w:t>
      </w:r>
      <w:r w:rsidRPr="002922C3">
        <w:rPr>
          <w:rFonts w:ascii="Source Sans Pro" w:hAnsi="Source Sans Pro"/>
          <w:i/>
          <w:color w:val="231F20"/>
        </w:rPr>
        <w:t>Naše snahy</w:t>
      </w:r>
      <w:r w:rsidRPr="002922C3">
        <w:rPr>
          <w:rFonts w:ascii="Source Sans Pro" w:hAnsi="Source Sans Pro"/>
          <w:color w:val="231F20"/>
        </w:rPr>
        <w:t xml:space="preserve">, roč. 15 (1979), č. 4, s. 3 • </w:t>
      </w:r>
      <w:r w:rsidRPr="002922C3">
        <w:rPr>
          <w:rFonts w:ascii="Source Sans Pro" w:hAnsi="Source Sans Pro"/>
          <w:i/>
          <w:color w:val="231F20"/>
        </w:rPr>
        <w:t>Informační materiály</w:t>
      </w:r>
      <w:r w:rsidRPr="002922C3">
        <w:rPr>
          <w:rFonts w:ascii="Source Sans Pro" w:hAnsi="Source Sans Pro"/>
          <w:color w:val="231F20"/>
        </w:rPr>
        <w:t>, zvl. příloha k č. 32.</w:t>
      </w:r>
    </w:p>
    <w:p w:rsidR="001B7CEA" w:rsidRDefault="00224C83"/>
    <w:sectPr w:rsidR="001B7CEA" w:rsidSect="001E4C9C">
      <w:pgSz w:w="11906" w:h="1683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A6B06"/>
    <w:multiLevelType w:val="hybridMultilevel"/>
    <w:tmpl w:val="144E5922"/>
    <w:lvl w:ilvl="0" w:tplc="FE0A85E6">
      <w:numFmt w:val="bullet"/>
      <w:lvlText w:val="·"/>
      <w:lvlJc w:val="left"/>
      <w:pPr>
        <w:ind w:left="322" w:hanging="209"/>
      </w:pPr>
      <w:rPr>
        <w:rFonts w:ascii="Calibri" w:eastAsia="Calibri" w:hAnsi="Calibri" w:cs="Calibri" w:hint="default"/>
        <w:color w:val="231F20"/>
        <w:w w:val="295"/>
        <w:sz w:val="15"/>
        <w:szCs w:val="15"/>
      </w:rPr>
    </w:lvl>
    <w:lvl w:ilvl="1" w:tplc="35705EC0">
      <w:numFmt w:val="bullet"/>
      <w:lvlText w:val="•"/>
      <w:lvlJc w:val="left"/>
      <w:pPr>
        <w:ind w:left="672" w:hanging="209"/>
      </w:pPr>
      <w:rPr>
        <w:rFonts w:hint="default"/>
      </w:rPr>
    </w:lvl>
    <w:lvl w:ilvl="2" w:tplc="6D94563A">
      <w:numFmt w:val="bullet"/>
      <w:lvlText w:val="•"/>
      <w:lvlJc w:val="left"/>
      <w:pPr>
        <w:ind w:left="1024" w:hanging="209"/>
      </w:pPr>
      <w:rPr>
        <w:rFonts w:hint="default"/>
      </w:rPr>
    </w:lvl>
    <w:lvl w:ilvl="3" w:tplc="7430DA3C">
      <w:numFmt w:val="bullet"/>
      <w:lvlText w:val="•"/>
      <w:lvlJc w:val="left"/>
      <w:pPr>
        <w:ind w:left="1376" w:hanging="209"/>
      </w:pPr>
      <w:rPr>
        <w:rFonts w:hint="default"/>
      </w:rPr>
    </w:lvl>
    <w:lvl w:ilvl="4" w:tplc="CF72D7B4">
      <w:numFmt w:val="bullet"/>
      <w:lvlText w:val="•"/>
      <w:lvlJc w:val="left"/>
      <w:pPr>
        <w:ind w:left="1728" w:hanging="209"/>
      </w:pPr>
      <w:rPr>
        <w:rFonts w:hint="default"/>
      </w:rPr>
    </w:lvl>
    <w:lvl w:ilvl="5" w:tplc="B6AA04DC">
      <w:numFmt w:val="bullet"/>
      <w:lvlText w:val="•"/>
      <w:lvlJc w:val="left"/>
      <w:pPr>
        <w:ind w:left="2080" w:hanging="209"/>
      </w:pPr>
      <w:rPr>
        <w:rFonts w:hint="default"/>
      </w:rPr>
    </w:lvl>
    <w:lvl w:ilvl="6" w:tplc="BE681C16">
      <w:numFmt w:val="bullet"/>
      <w:lvlText w:val="•"/>
      <w:lvlJc w:val="left"/>
      <w:pPr>
        <w:ind w:left="2432" w:hanging="209"/>
      </w:pPr>
      <w:rPr>
        <w:rFonts w:hint="default"/>
      </w:rPr>
    </w:lvl>
    <w:lvl w:ilvl="7" w:tplc="FCEC7A0A">
      <w:numFmt w:val="bullet"/>
      <w:lvlText w:val="•"/>
      <w:lvlJc w:val="left"/>
      <w:pPr>
        <w:ind w:left="2784" w:hanging="209"/>
      </w:pPr>
      <w:rPr>
        <w:rFonts w:hint="default"/>
      </w:rPr>
    </w:lvl>
    <w:lvl w:ilvl="8" w:tplc="6AC44A9A">
      <w:numFmt w:val="bullet"/>
      <w:lvlText w:val="•"/>
      <w:lvlJc w:val="left"/>
      <w:pPr>
        <w:ind w:left="3136" w:hanging="2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83"/>
    <w:rsid w:val="001E4C9C"/>
    <w:rsid w:val="002048F9"/>
    <w:rsid w:val="00224C83"/>
    <w:rsid w:val="003315B0"/>
    <w:rsid w:val="009A6CF9"/>
    <w:rsid w:val="00A77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5534-D1C7-4D46-8C73-4E67D966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224C83"/>
    <w:pPr>
      <w:widowControl w:val="0"/>
      <w:autoSpaceDE w:val="0"/>
      <w:autoSpaceDN w:val="0"/>
      <w:spacing w:after="0" w:line="240" w:lineRule="auto"/>
    </w:pPr>
    <w:rPr>
      <w:rFonts w:ascii="Times New Roman" w:eastAsia="Times New Roman" w:hAnsi="Times New Roman" w:cs="Times New Roman"/>
      <w:color w:val="auto"/>
      <w:lang w:val="en-US"/>
    </w:rPr>
  </w:style>
  <w:style w:type="paragraph" w:styleId="Nadpis1">
    <w:name w:val="heading 1"/>
    <w:basedOn w:val="Normln"/>
    <w:link w:val="Nadpis1Char"/>
    <w:uiPriority w:val="1"/>
    <w:qFormat/>
    <w:rsid w:val="00224C83"/>
    <w:pPr>
      <w:spacing w:before="86" w:line="384" w:lineRule="exact"/>
      <w:ind w:left="123"/>
      <w:outlineLvl w:val="0"/>
    </w:pPr>
    <w:rPr>
      <w:rFonts w:ascii="Calibri" w:eastAsia="Calibri" w:hAnsi="Calibri" w:cs="Calibri"/>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1E4C9C"/>
    <w:pPr>
      <w:ind w:left="720"/>
      <w:contextualSpacing/>
    </w:pPr>
  </w:style>
  <w:style w:type="character" w:customStyle="1" w:styleId="Nadpis1Char">
    <w:name w:val="Nadpis 1 Char"/>
    <w:basedOn w:val="Standardnpsmoodstavce"/>
    <w:link w:val="Nadpis1"/>
    <w:uiPriority w:val="1"/>
    <w:rsid w:val="00224C83"/>
    <w:rPr>
      <w:rFonts w:ascii="Calibri" w:eastAsia="Calibri" w:hAnsi="Calibri" w:cs="Calibri"/>
      <w:b/>
      <w:bCs/>
      <w:color w:val="auto"/>
      <w:sz w:val="32"/>
      <w:szCs w:val="32"/>
      <w:lang w:val="en-US"/>
    </w:rPr>
  </w:style>
  <w:style w:type="paragraph" w:styleId="Zkladntext">
    <w:name w:val="Body Text"/>
    <w:basedOn w:val="Normln"/>
    <w:link w:val="ZkladntextChar"/>
    <w:uiPriority w:val="1"/>
    <w:qFormat/>
    <w:rsid w:val="00224C83"/>
    <w:rPr>
      <w:sz w:val="15"/>
      <w:szCs w:val="15"/>
    </w:rPr>
  </w:style>
  <w:style w:type="character" w:customStyle="1" w:styleId="ZkladntextChar">
    <w:name w:val="Základní text Char"/>
    <w:basedOn w:val="Standardnpsmoodstavce"/>
    <w:link w:val="Zkladntext"/>
    <w:uiPriority w:val="1"/>
    <w:rsid w:val="00224C83"/>
    <w:rPr>
      <w:rFonts w:ascii="Times New Roman" w:eastAsia="Times New Roman" w:hAnsi="Times New Roman" w:cs="Times New Roman"/>
      <w:color w:val="auto"/>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5155</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1</cp:revision>
  <dcterms:created xsi:type="dcterms:W3CDTF">2021-09-26T19:52:00Z</dcterms:created>
  <dcterms:modified xsi:type="dcterms:W3CDTF">2021-09-26T19:52:00Z</dcterms:modified>
</cp:coreProperties>
</file>