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22" w:rsidRDefault="002B25AC">
      <w:pPr>
        <w:pStyle w:val="Heading10"/>
        <w:keepNext/>
        <w:keepLines/>
        <w:spacing w:after="40"/>
      </w:pPr>
      <w:bookmarkStart w:id="0" w:name="bookmark0"/>
      <w:r>
        <w:t>D124 1979</w:t>
      </w:r>
      <w:bookmarkEnd w:id="0"/>
    </w:p>
    <w:p w:rsidR="00DC3522" w:rsidRDefault="002B25AC">
      <w:pPr>
        <w:pStyle w:val="Bodytext20"/>
        <w:spacing w:after="40" w:line="216" w:lineRule="exact"/>
        <w:jc w:val="both"/>
      </w:pPr>
      <w:r>
        <w:t>1979, 12. listopad, Praha. - Dodatek</w:t>
      </w:r>
    </w:p>
    <w:p w:rsidR="00DC3522" w:rsidRDefault="002B25AC">
      <w:pPr>
        <w:pStyle w:val="Bodytext20"/>
        <w:spacing w:after="260" w:line="216" w:lineRule="exact"/>
      </w:pPr>
      <w:r>
        <w:t xml:space="preserve">k dokumentu Charty 77 č. 26 </w:t>
      </w:r>
      <w:r>
        <w:rPr>
          <w:i/>
          <w:iCs/>
        </w:rPr>
        <w:t xml:space="preserve">Teze o spotřebě </w:t>
      </w:r>
      <w:r>
        <w:t>z 27. května 1979: Měsíční výdaje čtyřčlenné rodiny před zdražením cen a po něm.</w:t>
      </w:r>
    </w:p>
    <w:p w:rsidR="00DC3522" w:rsidRDefault="002B25AC">
      <w:pPr>
        <w:pStyle w:val="Zkladntext"/>
        <w:spacing w:after="260" w:line="216" w:lineRule="exact"/>
        <w:ind w:firstLine="0"/>
        <w:jc w:val="both"/>
      </w:pPr>
      <w:r>
        <w:t>Mluvčí Charty 77 dostali jako příspěvek k doku</w:t>
      </w:r>
      <w:r>
        <w:softHyphen/>
        <w:t xml:space="preserve">mentu č. 26 </w:t>
      </w:r>
      <w:r>
        <w:rPr>
          <w:i/>
          <w:iCs/>
        </w:rPr>
        <w:t>Teze o spotřebě’</w:t>
      </w:r>
      <w:r>
        <w:t xml:space="preserve"> rozbor spotřebního koše u čtyřčlenné rodiny před letošní úpravou cen a po ní. Téma zpracovali nesignatáři, kteří požádali mluvčí Charty 77 o zveřejnění.</w:t>
      </w:r>
    </w:p>
    <w:p w:rsidR="00DC3522" w:rsidRDefault="002B25AC">
      <w:pPr>
        <w:pStyle w:val="Zkladntext"/>
        <w:spacing w:after="260" w:line="216" w:lineRule="exact"/>
        <w:ind w:firstLine="0"/>
      </w:pPr>
      <w:r>
        <w:rPr>
          <w:i/>
          <w:iCs/>
        </w:rPr>
        <w:t>Jiří Hájek, Zdena Tominová, Ladislav Hejdánek mluvčí Charty 77</w:t>
      </w:r>
    </w:p>
    <w:p w:rsidR="00DC3522" w:rsidRDefault="002B25AC">
      <w:pPr>
        <w:pStyle w:val="Zkladntext"/>
        <w:spacing w:after="40" w:line="216" w:lineRule="exact"/>
        <w:ind w:firstLine="0"/>
      </w:pPr>
      <w:r>
        <w:rPr>
          <w:b/>
          <w:bCs/>
        </w:rPr>
        <w:t>Měsíční výdaje čtyřčlenné rodiny před 2</w:t>
      </w:r>
      <w:r>
        <w:rPr>
          <w:b/>
          <w:bCs/>
        </w:rPr>
        <w:t>0. červencem - a po něm</w:t>
      </w:r>
    </w:p>
    <w:p w:rsidR="00DC3522" w:rsidRDefault="002B25AC">
      <w:pPr>
        <w:pStyle w:val="Zkladntext"/>
        <w:spacing w:after="40" w:line="216" w:lineRule="exact"/>
        <w:ind w:firstLine="0"/>
        <w:jc w:val="both"/>
      </w:pPr>
      <w:r>
        <w:t>Takzvaná úprava cen z 20.7.1979 zasáhla proni</w:t>
      </w:r>
      <w:r>
        <w:softHyphen/>
        <w:t>kavě do života každé domácnosti. Protože však lidé posuzují růst životních nákladů podle své individuální situace, pokusili jsme se dát svým spoluobčanům ucelenější informaci v podobě mě</w:t>
      </w:r>
      <w:r>
        <w:t>síčního rozpočtu čtyřčlenné rodiny (2 dospě</w:t>
      </w:r>
      <w:r>
        <w:softHyphen/>
        <w:t>lí, 2 děti - chlapec a děvče). Vypracovali jsme ve skutečnosti rozpočty dva - pro rodinu stoprocent</w:t>
      </w:r>
      <w:r>
        <w:softHyphen/>
        <w:t>ně vybavenou nikoli luxusně, avšak dle součas</w:t>
      </w:r>
      <w:r>
        <w:softHyphen/>
        <w:t>ného standardu, a pro rodinu průměrnou. Uvě</w:t>
      </w:r>
      <w:r>
        <w:softHyphen/>
        <w:t xml:space="preserve">domujeme si ovšem, že </w:t>
      </w:r>
      <w:r>
        <w:t>se některé naše údaje opírají jen o částečný průzkum nebo dokonce jen o seriózní odhad. Nemáme dostatečně podrobné údaje, protože nebyly publikovány. Nebudeme se proto zlobit, když přesnější a fundovanější obraz o růstu životních nákladů předloží svým trpě</w:t>
      </w:r>
      <w:r>
        <w:t>li</w:t>
      </w:r>
      <w:r>
        <w:softHyphen/>
        <w:t>vě platícím členům odbory - nebo svým ještě tr</w:t>
      </w:r>
      <w:r>
        <w:softHyphen/>
        <w:t>pělivějším čtenářům denní tisk.</w:t>
      </w:r>
    </w:p>
    <w:p w:rsidR="00DC3522" w:rsidRDefault="002B25AC">
      <w:pPr>
        <w:pStyle w:val="Zkladntext"/>
        <w:spacing w:after="40" w:line="216" w:lineRule="exact"/>
        <w:jc w:val="both"/>
      </w:pPr>
      <w:r>
        <w:t>Nejdříve několik poznámek k tabulce:</w:t>
      </w:r>
    </w:p>
    <w:p w:rsidR="00DC3522" w:rsidRDefault="002B25AC">
      <w:pPr>
        <w:pStyle w:val="Zkladntext"/>
        <w:spacing w:after="40" w:line="216" w:lineRule="exact"/>
        <w:jc w:val="both"/>
      </w:pPr>
      <w:r>
        <w:t>K bodu 1.01 - do nákladů na auto jsou zakal</w:t>
      </w:r>
      <w:r>
        <w:softHyphen/>
        <w:t>kulovány i provozní náklady, předpokládá se, že uživatel ujede ročně 12 000 km (1000 km měsíč</w:t>
      </w:r>
      <w:r>
        <w:softHyphen/>
        <w:t>ně). Měsíční provozní náklady jsme rozdělili tak</w:t>
      </w:r>
      <w:r>
        <w:softHyphen/>
        <w:t>to: pojištění, poplatky - 130, opravy, náhradní díly - 150, benzin - 520, olej - 10 a pneumati</w:t>
      </w:r>
      <w:r>
        <w:softHyphen/>
        <w:t>ky - 50. Celkem 860,- Kčs.</w:t>
      </w:r>
    </w:p>
    <w:p w:rsidR="00DC3522" w:rsidRDefault="002B25AC">
      <w:pPr>
        <w:pStyle w:val="Zkladntext"/>
        <w:spacing w:after="40" w:line="216" w:lineRule="exact"/>
        <w:jc w:val="both"/>
      </w:pPr>
      <w:r>
        <w:t>K bodu 1.11 - náklady na nábytek byly rozpoč</w:t>
      </w:r>
      <w:r>
        <w:softHyphen/>
        <w:t>teny takto: bytové doplňky - 5000, seda</w:t>
      </w:r>
      <w:r>
        <w:t>cí sou</w:t>
      </w:r>
      <w:r>
        <w:softHyphen/>
        <w:t>prava - 12 000, ložnice - 12 000 a stěna 18 000. Celkem 47 000 Kčs.</w:t>
      </w:r>
    </w:p>
    <w:p w:rsidR="00DC3522" w:rsidRDefault="002B25AC">
      <w:pPr>
        <w:pStyle w:val="Zkladntext"/>
        <w:spacing w:after="40" w:line="216" w:lineRule="exact"/>
        <w:jc w:val="both"/>
      </w:pPr>
      <w:r>
        <w:t>K bodu 1.02-1.10 - u těchto položek byly do ná</w:t>
      </w:r>
      <w:r>
        <w:softHyphen/>
        <w:t>kladů započteny výdaje na opravu uvedeného zboží.</w:t>
      </w:r>
    </w:p>
    <w:p w:rsidR="00DC3522" w:rsidRDefault="002B25AC">
      <w:pPr>
        <w:pStyle w:val="Zkladntext"/>
        <w:spacing w:after="40" w:line="216" w:lineRule="exact"/>
        <w:ind w:firstLine="0"/>
        <w:jc w:val="both"/>
      </w:pPr>
      <w:r>
        <w:t>K bodu 5 - v položkách jsou započteny staré a nové výdaje za telefon při skutečné, t</w:t>
      </w:r>
      <w:r>
        <w:t>o je 48% vybavenosti.</w:t>
      </w:r>
    </w:p>
    <w:p w:rsidR="00DC3522" w:rsidRDefault="002B25AC">
      <w:pPr>
        <w:pStyle w:val="Zkladntext"/>
        <w:spacing w:after="40" w:line="216" w:lineRule="exact"/>
        <w:jc w:val="both"/>
      </w:pPr>
      <w:r>
        <w:t>Z tabulky lze vyčíst některé zajímavé skuteč</w:t>
      </w:r>
      <w:r>
        <w:softHyphen/>
        <w:t>nosti. I při velmi střízlivém stanovení nám vy</w:t>
      </w:r>
      <w:r>
        <w:softHyphen/>
        <w:t>šla suma měsíčních výdajů tzv. normálně vyba</w:t>
      </w:r>
      <w:r>
        <w:softHyphen/>
        <w:t>vené rodiny - 5172,- Kčs. Průměrný brutto výdělek v ČSSR však činí 2517,- Kčs. Počítáme-li se dvě</w:t>
      </w:r>
      <w:r>
        <w:softHyphen/>
        <w:t>ma příjmy, činí součet 5034,- Kčs, avšak ani ten</w:t>
      </w:r>
      <w:r>
        <w:softHyphen/>
        <w:t>to spojený výdělek obou rodičů nestačil na krytí uvedených výdajů. Po zdražení však stouply ná</w:t>
      </w:r>
      <w:r>
        <w:softHyphen/>
        <w:t>klady této normálně vybavené rodiny o dalších 604,- Kčs. A to nezapočítáváme kvapný růst cen služeb i ostatního</w:t>
      </w:r>
      <w:r>
        <w:t>, oficiálně dosud „nezdražené- ho“ zboží. Z čeho bude toto zvýšení průměrná ro</w:t>
      </w:r>
      <w:r>
        <w:softHyphen/>
        <w:t>dina hradit? Z poslední kolonky vyplývá, že tato rodina utratí měsíčně nejvíce za potraviny - 37,5 %, za průmyslové zboží 24,6 %, za oděvy a obuv 18,7 %, za byt a energii 10,4 %</w:t>
      </w:r>
      <w:r>
        <w:t>, za rekreaci, zábavu, jízd</w:t>
      </w:r>
      <w:r>
        <w:softHyphen/>
        <w:t>né, spoje a informace 8,8 % z měsíčního globálu. Ušetřit se tedy dá nejspíš na jídle.</w:t>
      </w:r>
    </w:p>
    <w:p w:rsidR="00DC3522" w:rsidRDefault="002B25AC">
      <w:pPr>
        <w:pStyle w:val="Zkladntext"/>
        <w:spacing w:after="40" w:line="216" w:lineRule="exact"/>
        <w:jc w:val="both"/>
      </w:pPr>
      <w:r>
        <w:t>O kolik procent stouply životní náklady? U plně vybavené rodiny o 756,- Kčs měsíčně, tedy o 13,1 % (5774 - 100 %). Že se naše stanovení vcelku</w:t>
      </w:r>
      <w:r>
        <w:t xml:space="preserve"> sho</w:t>
      </w:r>
      <w:r>
        <w:softHyphen/>
        <w:t>duje s odhadem orgánů daleko zasvěcenějších, to potvrzuje přilepšení, které stát - v souvislos</w:t>
      </w:r>
      <w:r>
        <w:softHyphen/>
        <w:t>ti s červencovou úpravou - poskytl příslušníkům SNB a armádnímu důstojnictvu. Jejich měsíční gáže vzrostly o 300 až 700 Kčs, a to podle hodností.</w:t>
      </w:r>
    </w:p>
    <w:p w:rsidR="00DC3522" w:rsidRDefault="002B25AC">
      <w:pPr>
        <w:pStyle w:val="Zkladntext"/>
        <w:spacing w:after="40" w:line="216" w:lineRule="exact"/>
        <w:jc w:val="both"/>
      </w:pPr>
      <w:r>
        <w:t>Vláda ovše</w:t>
      </w:r>
      <w:r>
        <w:t>m nezvýšila platy jen příslušníkům ozbrojených sborů. Též každý důchodce dostal přidáno 30 Kčs měsíčně. I když se to nezdá být velká suma, činí to ročně 1,7 miliardy Kčs. To již není tak málo, uvážíme-li, že se za 4,5 mili</w:t>
      </w:r>
      <w:r>
        <w:softHyphen/>
        <w:t>ardy Kčs staví nový sjezdový palá</w:t>
      </w:r>
      <w:r>
        <w:t>c v Praze. Také na rodiny s dětmi stát v souvislosti s červenco</w:t>
      </w:r>
      <w:r>
        <w:softHyphen/>
        <w:t>vou úpravou pamatoval. Jak plyne z naší tabul</w:t>
      </w:r>
      <w:r>
        <w:softHyphen/>
        <w:t>ky, zvyšují se 20.7.1979 výdaje na dvě děti do 10 let v průměru o 320 Kčs. Zároveň dostanou rodi</w:t>
      </w:r>
      <w:r>
        <w:softHyphen/>
        <w:t>če jako kompenzaci 2x50 Kčs navíc v rodinných pří</w:t>
      </w:r>
      <w:r>
        <w:t>davcích. Činí tedy čisté zvýšení výdajů rodiny se dvěma dětmi jen 270 Kčs měsíčně.</w:t>
      </w:r>
    </w:p>
    <w:p w:rsidR="00DC3522" w:rsidRDefault="002B25AC">
      <w:pPr>
        <w:pStyle w:val="Zkladntext"/>
        <w:spacing w:after="40" w:line="216" w:lineRule="exact"/>
        <w:jc w:val="both"/>
        <w:sectPr w:rsidR="00DC3522" w:rsidSect="00B532E2">
          <w:pgSz w:w="9072" w:h="13042"/>
          <w:pgMar w:top="758" w:right="590" w:bottom="758" w:left="1046" w:header="0" w:footer="3" w:gutter="0"/>
          <w:cols w:space="130"/>
          <w:noEndnote/>
          <w:docGrid w:linePitch="360"/>
        </w:sectPr>
      </w:pPr>
      <w:r>
        <w:t>Tím také končí náš stručný komentář. Jsme toho názoru, že svědomitá informace je zákla</w:t>
      </w:r>
      <w:r>
        <w:softHyphen/>
        <w:t>dem tak potřebné občanské aktivity. Pouze člo</w:t>
      </w:r>
      <w:r>
        <w:softHyphen/>
        <w:t xml:space="preserve">věk, jenž je s </w:t>
      </w:r>
      <w:r>
        <w:t>to realisticky zhodnotit svou situaci a situaci svých bližních, který prostě ví, jaký je a zač stojí jeho život, najde v sobě sdostatek rozhodnosti, aby se ptal, kde jsou jiní zatím zti</w:t>
      </w:r>
      <w:r>
        <w:softHyphen/>
        <w:t>cha, a aby konal tam, kde druzí otálejí.</w:t>
      </w:r>
    </w:p>
    <w:p w:rsidR="00B532E2" w:rsidRDefault="00B532E2">
      <w:pPr>
        <w:pStyle w:val="Zkladntext"/>
        <w:spacing w:after="100" w:line="240" w:lineRule="auto"/>
        <w:ind w:firstLine="0"/>
        <w:rPr>
          <w:b/>
          <w:bCs/>
        </w:rPr>
        <w:sectPr w:rsidR="00B532E2">
          <w:pgSz w:w="9072" w:h="13042"/>
          <w:pgMar w:top="1111" w:right="810" w:bottom="1194" w:left="793" w:header="0" w:footer="3" w:gutter="0"/>
          <w:cols w:space="720"/>
          <w:noEndnote/>
          <w:docGrid w:linePitch="360"/>
        </w:sectPr>
      </w:pPr>
    </w:p>
    <w:p w:rsidR="00DC3522" w:rsidRDefault="002B25AC">
      <w:pPr>
        <w:pStyle w:val="Zkladntext"/>
        <w:spacing w:after="100" w:line="240" w:lineRule="auto"/>
        <w:ind w:firstLine="0"/>
      </w:pPr>
      <w:r>
        <w:rPr>
          <w:b/>
          <w:bCs/>
        </w:rPr>
        <w:t>Měsíční výdaje čtyřčlenné dom</w:t>
      </w:r>
      <w:r>
        <w:rPr>
          <w:b/>
          <w:bCs/>
        </w:rPr>
        <w:t>ácnosti (rodiče + 2 děti)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594"/>
        <w:gridCol w:w="509"/>
        <w:gridCol w:w="475"/>
        <w:gridCol w:w="883"/>
        <w:gridCol w:w="600"/>
        <w:gridCol w:w="734"/>
        <w:gridCol w:w="461"/>
        <w:gridCol w:w="547"/>
        <w:gridCol w:w="562"/>
        <w:gridCol w:w="538"/>
      </w:tblGrid>
      <w:tr w:rsidR="00DC352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Číslo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Výdajová položka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2B25AC">
            <w:pPr>
              <w:pStyle w:val="Other0"/>
              <w:spacing w:line="158" w:lineRule="exact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Počet kusů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2B25AC">
            <w:pPr>
              <w:pStyle w:val="Other0"/>
              <w:spacing w:line="160" w:lineRule="exact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Vy- bave- nost v %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2B25AC">
            <w:pPr>
              <w:pStyle w:val="Other0"/>
              <w:spacing w:line="158" w:lineRule="exact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Pořizovací cena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2B25AC">
            <w:pPr>
              <w:pStyle w:val="Other0"/>
              <w:spacing w:line="160" w:lineRule="exact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Zů</w:t>
            </w:r>
            <w:r>
              <w:rPr>
                <w:sz w:val="15"/>
                <w:szCs w:val="15"/>
              </w:rPr>
              <w:softHyphen/>
              <w:t>stat</w:t>
            </w:r>
            <w:r>
              <w:rPr>
                <w:sz w:val="15"/>
                <w:szCs w:val="15"/>
              </w:rPr>
              <w:softHyphen/>
              <w:t>ková cena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160" w:lineRule="exact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Doba upotře- bitel- nosti (měsíce)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3522" w:rsidRDefault="002B25AC">
            <w:pPr>
              <w:pStyle w:val="Other0"/>
              <w:spacing w:line="160" w:lineRule="exact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Celkové mě</w:t>
            </w:r>
            <w:r>
              <w:rPr>
                <w:sz w:val="15"/>
                <w:szCs w:val="15"/>
              </w:rPr>
              <w:softHyphen/>
              <w:t>síční nákla</w:t>
            </w:r>
            <w:r>
              <w:rPr>
                <w:sz w:val="15"/>
                <w:szCs w:val="15"/>
              </w:rPr>
              <w:softHyphen/>
              <w:t>dy (vybave</w:t>
            </w:r>
            <w:r>
              <w:rPr>
                <w:sz w:val="15"/>
                <w:szCs w:val="15"/>
              </w:rPr>
              <w:softHyphen/>
              <w:t>nost = 100 %)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3522" w:rsidRDefault="002B25AC">
            <w:pPr>
              <w:pStyle w:val="Other0"/>
              <w:spacing w:line="160" w:lineRule="exact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Celkové mě</w:t>
            </w:r>
            <w:r>
              <w:rPr>
                <w:sz w:val="15"/>
                <w:szCs w:val="15"/>
              </w:rPr>
              <w:softHyphen/>
              <w:t>síční náklady (při skuteč. vybavenosti)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před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před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Průmyslové zboží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1871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1209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1.01</w:t>
            </w: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Auto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15 000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96/8 let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1328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513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664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1.02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Pračka normální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120/10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1.03</w:t>
            </w: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Pračka automatická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120/10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1.04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Televize černobílá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120/10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70“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69“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1.05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Rádio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120/10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27“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26“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1.06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Magnetofon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120/10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1.07</w:t>
            </w: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Gramofon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120/10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1.08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Robot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180/15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1.09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Chladnička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120/10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1.10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Vysavač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120/10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1.11</w:t>
            </w: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Nábytek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47 000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360/30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1.12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Koberce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96/8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1.13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Kuchyň. linka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360/30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1.14</w:t>
            </w: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Nádobí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180/15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1.15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Ložní prádlo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80/6,5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1.16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Drogerie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Byt, energie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483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483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2.01</w:t>
            </w: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Energie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2.02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Činže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Jídlo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2168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2168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2168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3.01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Maso hovězí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241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241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241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241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3.02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Maso vepřové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3.03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Ovoce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371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3.04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Vejce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3.05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Máslo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3.06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Drůbež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3.07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Káva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3.08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Ostatní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796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796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796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796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Rekreace, zábava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Jízdenky, informace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276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Oděvy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624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884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884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6.01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Dámské oděvy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239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239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239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239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Sukně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Svetr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Blůza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Kalhoty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Kabát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Kostým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Šaty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Bunda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Prádlo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6.02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Pánské oděvy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5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Kabát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Bunda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6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Oblek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85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Kalhoty</w:t>
            </w:r>
          </w:p>
        </w:tc>
        <w:tc>
          <w:tcPr>
            <w:tcW w:w="50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60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0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47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6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3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</w:tr>
    </w:tbl>
    <w:p w:rsidR="00DC3522" w:rsidRDefault="00DC3522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488"/>
        <w:gridCol w:w="610"/>
        <w:gridCol w:w="461"/>
        <w:gridCol w:w="456"/>
        <w:gridCol w:w="163"/>
        <w:gridCol w:w="322"/>
        <w:gridCol w:w="552"/>
        <w:gridCol w:w="701"/>
        <w:gridCol w:w="499"/>
        <w:gridCol w:w="542"/>
        <w:gridCol w:w="576"/>
        <w:gridCol w:w="528"/>
      </w:tblGrid>
      <w:tr w:rsidR="00DC352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Košile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Svetr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Prádlo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6.03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Dětské oděvy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stará</w:t>
            </w:r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nová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502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</w:t>
            </w:r>
          </w:p>
        </w:tc>
        <w:tc>
          <w:tcPr>
            <w:tcW w:w="55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Kalhoty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Sukně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Šaty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134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Košile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Blůza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Trika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Bunda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Kabát</w:t>
            </w:r>
          </w:p>
        </w:tc>
        <w:tc>
          <w:tcPr>
            <w:tcW w:w="61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</w:t>
            </w:r>
          </w:p>
        </w:tc>
        <w:tc>
          <w:tcPr>
            <w:tcW w:w="55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9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4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76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2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Svetr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Prádlo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Obuv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7.01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Dámská obuv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63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zimní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jarní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letní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sportovní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7.02</w:t>
            </w:r>
          </w:p>
        </w:tc>
        <w:tc>
          <w:tcPr>
            <w:tcW w:w="148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Pánská obuv</w:t>
            </w:r>
          </w:p>
        </w:tc>
        <w:tc>
          <w:tcPr>
            <w:tcW w:w="61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56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0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9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zimní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jarní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8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letní</w:t>
            </w:r>
          </w:p>
        </w:tc>
        <w:tc>
          <w:tcPr>
            <w:tcW w:w="61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99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42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sportovní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2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90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7.03</w:t>
            </w:r>
          </w:p>
        </w:tc>
        <w:tc>
          <w:tcPr>
            <w:tcW w:w="1488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Dětská obuv</w:t>
            </w:r>
          </w:p>
        </w:tc>
        <w:tc>
          <w:tcPr>
            <w:tcW w:w="61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stará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nová</w:t>
            </w:r>
          </w:p>
        </w:tc>
        <w:tc>
          <w:tcPr>
            <w:tcW w:w="55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</w:t>
            </w:r>
          </w:p>
        </w:tc>
        <w:tc>
          <w:tcPr>
            <w:tcW w:w="55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90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6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4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26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DC3522" w:rsidRDefault="002B25AC">
            <w:pPr>
              <w:pStyle w:val="Other0"/>
              <w:spacing w:line="240" w:lineRule="auto"/>
              <w:ind w:firstLine="1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</w:tr>
      <w:tr w:rsidR="00DC352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2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3522" w:rsidRDefault="00DC3522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40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5774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6530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5127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522" w:rsidRDefault="002B25AC">
            <w:pPr>
              <w:pStyle w:val="Other0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5776</w:t>
            </w:r>
          </w:p>
        </w:tc>
      </w:tr>
    </w:tbl>
    <w:p w:rsidR="00DC3522" w:rsidRDefault="00DC3522">
      <w:pPr>
        <w:spacing w:after="119" w:line="1" w:lineRule="exact"/>
      </w:pPr>
    </w:p>
    <w:p w:rsidR="00DC3522" w:rsidRDefault="002B25AC">
      <w:pPr>
        <w:pStyle w:val="Zkladntext"/>
        <w:spacing w:line="163" w:lineRule="exact"/>
        <w:ind w:firstLine="0"/>
        <w:rPr>
          <w:sz w:val="15"/>
          <w:szCs w:val="15"/>
        </w:rPr>
      </w:pPr>
      <w:r>
        <w:rPr>
          <w:sz w:val="15"/>
          <w:szCs w:val="15"/>
        </w:rPr>
        <w:t>x včetně koncesních poplatků</w:t>
      </w:r>
    </w:p>
    <w:p w:rsidR="00DC3522" w:rsidRDefault="002B25AC">
      <w:pPr>
        <w:pStyle w:val="Zkladntext"/>
        <w:spacing w:after="440" w:line="163" w:lineRule="exact"/>
        <w:ind w:firstLine="0"/>
        <w:rPr>
          <w:sz w:val="15"/>
          <w:szCs w:val="15"/>
        </w:rPr>
      </w:pPr>
      <w:r>
        <w:rPr>
          <w:sz w:val="15"/>
          <w:szCs w:val="15"/>
        </w:rPr>
        <w:t>Poznámka autorů: K tabulkám a komentáři jsme dostali některé připomínky, které jsme nestačili do 1. vy</w:t>
      </w:r>
      <w:r>
        <w:rPr>
          <w:sz w:val="15"/>
          <w:szCs w:val="15"/>
        </w:rPr>
        <w:softHyphen/>
        <w:t>dání rodinného rozpočtu zapracovat.</w:t>
      </w:r>
    </w:p>
    <w:p w:rsidR="00DC3522" w:rsidRDefault="00B532E2">
      <w:pPr>
        <w:pStyle w:val="Bodytext20"/>
        <w:spacing w:after="260" w:line="240" w:lineRule="auto"/>
      </w:pPr>
      <w:r>
        <w:rPr>
          <w:b w:val="0"/>
          <w:bCs w:val="0"/>
        </w:rPr>
        <w:t>-</w:t>
      </w:r>
      <w:r w:rsidR="002B25AC">
        <w:rPr>
          <w:b w:val="0"/>
          <w:bCs w:val="0"/>
        </w:rPr>
        <w:t xml:space="preserve"> </w:t>
      </w:r>
      <w:r w:rsidR="002B25AC">
        <w:rPr>
          <w:b w:val="0"/>
          <w:bCs w:val="0"/>
          <w:smallCaps/>
        </w:rPr>
        <w:t>čsds,</w:t>
      </w:r>
      <w:r w:rsidR="002B25AC">
        <w:rPr>
          <w:b w:val="0"/>
          <w:bCs w:val="0"/>
        </w:rPr>
        <w:t xml:space="preserve"> sb. Charta 77. - strojopis, průpis.</w:t>
      </w:r>
    </w:p>
    <w:p w:rsidR="00DC3522" w:rsidRDefault="002B25AC">
      <w:pPr>
        <w:pStyle w:val="Bodytext20"/>
        <w:spacing w:after="260" w:line="240" w:lineRule="auto"/>
      </w:pPr>
      <w:r>
        <w:rPr>
          <w:b w:val="0"/>
          <w:bCs w:val="0"/>
          <w:i/>
          <w:iCs/>
        </w:rPr>
        <w:t>1 Viz D106 (27. 5. 1979).</w:t>
      </w:r>
    </w:p>
    <w:p w:rsidR="00DC3522" w:rsidRDefault="002B25AC">
      <w:pPr>
        <w:pStyle w:val="Bodytext20"/>
        <w:spacing w:after="260" w:line="240" w:lineRule="auto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Plné znění: In: </w:t>
      </w:r>
      <w:r>
        <w:rPr>
          <w:b w:val="0"/>
          <w:bCs w:val="0"/>
          <w:i/>
          <w:iCs/>
          <w:sz w:val="14"/>
          <w:szCs w:val="14"/>
        </w:rPr>
        <w:t>Informace o Chartě 77</w:t>
      </w:r>
      <w:r>
        <w:rPr>
          <w:b w:val="0"/>
          <w:bCs w:val="0"/>
          <w:sz w:val="14"/>
          <w:szCs w:val="14"/>
        </w:rPr>
        <w:t>, roč. 2 (1979), č. 16, s. 1-7.</w:t>
      </w:r>
    </w:p>
    <w:sectPr w:rsidR="00DC3522" w:rsidSect="00B532E2">
      <w:type w:val="continuous"/>
      <w:pgSz w:w="9072" w:h="13042"/>
      <w:pgMar w:top="1111" w:right="810" w:bottom="1194" w:left="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AC" w:rsidRDefault="002B25AC">
      <w:r>
        <w:separator/>
      </w:r>
    </w:p>
  </w:endnote>
  <w:endnote w:type="continuationSeparator" w:id="0">
    <w:p w:rsidR="002B25AC" w:rsidRDefault="002B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AC" w:rsidRDefault="002B25AC"/>
  </w:footnote>
  <w:footnote w:type="continuationSeparator" w:id="0">
    <w:p w:rsidR="002B25AC" w:rsidRDefault="002B2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22"/>
    <w:rsid w:val="002B25AC"/>
    <w:rsid w:val="00B532E2"/>
    <w:rsid w:val="00D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811B"/>
  <w15:docId w15:val="{8C53DDC5-4286-42CE-A627-DB1F25E5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231E20"/>
      <w:sz w:val="32"/>
      <w:szCs w:val="3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231E20"/>
      <w:sz w:val="15"/>
      <w:szCs w:val="15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E20"/>
      <w:sz w:val="16"/>
      <w:szCs w:val="16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E20"/>
      <w:sz w:val="16"/>
      <w:szCs w:val="16"/>
      <w:u w:val="none"/>
    </w:rPr>
  </w:style>
  <w:style w:type="paragraph" w:customStyle="1" w:styleId="Heading10">
    <w:name w:val="Heading #1"/>
    <w:basedOn w:val="Normln"/>
    <w:link w:val="Heading1"/>
    <w:pPr>
      <w:outlineLvl w:val="0"/>
    </w:pPr>
    <w:rPr>
      <w:rFonts w:ascii="Arial" w:eastAsia="Arial" w:hAnsi="Arial" w:cs="Arial"/>
      <w:b/>
      <w:bCs/>
      <w:color w:val="231E20"/>
      <w:sz w:val="32"/>
      <w:szCs w:val="32"/>
    </w:rPr>
  </w:style>
  <w:style w:type="paragraph" w:customStyle="1" w:styleId="Bodytext20">
    <w:name w:val="Body text (2)"/>
    <w:basedOn w:val="Normln"/>
    <w:link w:val="Bodytext2"/>
    <w:pPr>
      <w:spacing w:after="220" w:line="300" w:lineRule="auto"/>
    </w:pPr>
    <w:rPr>
      <w:rFonts w:ascii="Arial" w:eastAsia="Arial" w:hAnsi="Arial" w:cs="Arial"/>
      <w:b/>
      <w:bCs/>
      <w:color w:val="231E20"/>
      <w:sz w:val="15"/>
      <w:szCs w:val="15"/>
    </w:rPr>
  </w:style>
  <w:style w:type="paragraph" w:styleId="Zkladntext">
    <w:name w:val="Body Text"/>
    <w:basedOn w:val="Normln"/>
    <w:link w:val="ZkladntextChar"/>
    <w:qFormat/>
    <w:pPr>
      <w:spacing w:line="283" w:lineRule="auto"/>
      <w:ind w:firstLine="220"/>
    </w:pPr>
    <w:rPr>
      <w:rFonts w:ascii="Times New Roman" w:eastAsia="Times New Roman" w:hAnsi="Times New Roman" w:cs="Times New Roman"/>
      <w:color w:val="231E20"/>
      <w:sz w:val="16"/>
      <w:szCs w:val="16"/>
    </w:rPr>
  </w:style>
  <w:style w:type="paragraph" w:customStyle="1" w:styleId="Other0">
    <w:name w:val="Other"/>
    <w:basedOn w:val="Normln"/>
    <w:link w:val="Other"/>
    <w:pPr>
      <w:spacing w:line="283" w:lineRule="auto"/>
      <w:ind w:firstLine="220"/>
    </w:pPr>
    <w:rPr>
      <w:rFonts w:ascii="Times New Roman" w:eastAsia="Times New Roman" w:hAnsi="Times New Roman" w:cs="Times New Roman"/>
      <w:color w:val="231E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1162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CHARTA 77: Dokumenty 19771989</dc:title>
  <dc:subject>Charta 77</dc:subject>
  <dc:creator>Hron Jan</dc:creator>
  <cp:keywords/>
  <cp:lastModifiedBy>Jan Hron</cp:lastModifiedBy>
  <cp:revision>1</cp:revision>
  <dcterms:created xsi:type="dcterms:W3CDTF">2021-09-26T20:59:00Z</dcterms:created>
  <dcterms:modified xsi:type="dcterms:W3CDTF">2021-09-26T21:01:00Z</dcterms:modified>
</cp:coreProperties>
</file>